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BA" w:rsidRDefault="00A100BA">
      <w:pPr>
        <w:framePr w:w="1440" w:h="1460" w:hRule="exact" w:hSpace="240" w:vSpace="240" w:wrap="auto" w:vAnchor="text" w:hAnchor="margin" w:x="1" w:y="1"/>
        <w:pBdr>
          <w:top w:val="single" w:sz="6" w:space="0" w:color="FFFFFF"/>
          <w:left w:val="single" w:sz="6" w:space="0" w:color="FFFFFF"/>
          <w:bottom w:val="single" w:sz="6" w:space="0" w:color="FFFFFF"/>
          <w:right w:val="single" w:sz="6" w:space="0" w:color="FFFFFF"/>
        </w:pBdr>
      </w:pPr>
    </w:p>
    <w:p w:rsidR="00A100BA" w:rsidRPr="00806345" w:rsidRDefault="007E1780">
      <w:pPr>
        <w:tabs>
          <w:tab w:val="left" w:pos="-1440"/>
          <w:tab w:val="left" w:pos="-720"/>
        </w:tabs>
        <w:spacing w:before="480"/>
        <w:rPr>
          <w:sz w:val="32"/>
          <w:szCs w:val="32"/>
        </w:rPr>
      </w:pPr>
      <w:bookmarkStart w:id="0" w:name="OLE_LINK1"/>
      <w:r w:rsidRPr="00806345">
        <w:rPr>
          <w:noProof/>
          <w:sz w:val="32"/>
          <w:szCs w:val="32"/>
        </w:rPr>
        <w:drawing>
          <wp:anchor distT="0" distB="0" distL="114300" distR="114300" simplePos="0" relativeHeight="251657728" behindDoc="0" locked="0" layoutInCell="1" allowOverlap="1">
            <wp:simplePos x="0" y="0"/>
            <wp:positionH relativeFrom="column">
              <wp:posOffset>-357505</wp:posOffset>
            </wp:positionH>
            <wp:positionV relativeFrom="paragraph">
              <wp:posOffset>259080</wp:posOffset>
            </wp:positionV>
            <wp:extent cx="914400"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20A">
        <w:rPr>
          <w:color w:val="000054"/>
          <w:sz w:val="32"/>
          <w:szCs w:val="32"/>
        </w:rPr>
        <w:t xml:space="preserve">   </w:t>
      </w:r>
      <w:r w:rsidR="00A100BA" w:rsidRPr="00806345">
        <w:rPr>
          <w:color w:val="000054"/>
          <w:sz w:val="32"/>
          <w:szCs w:val="32"/>
        </w:rPr>
        <w:t>United States Department of the Interior</w:t>
      </w:r>
    </w:p>
    <w:p w:rsidR="00A100BA" w:rsidRDefault="00A100BA">
      <w:pPr>
        <w:tabs>
          <w:tab w:val="left" w:pos="-1440"/>
          <w:tab w:val="left" w:pos="-720"/>
          <w:tab w:val="left" w:pos="1440"/>
        </w:tabs>
        <w:jc w:val="center"/>
        <w:rPr>
          <w:color w:val="000054"/>
        </w:rPr>
      </w:pPr>
    </w:p>
    <w:p w:rsidR="00A100BA" w:rsidRDefault="00A100BA">
      <w:pPr>
        <w:tabs>
          <w:tab w:val="left" w:pos="-1440"/>
          <w:tab w:val="left" w:pos="-720"/>
          <w:tab w:val="left" w:pos="1440"/>
        </w:tabs>
        <w:spacing w:after="40"/>
        <w:ind w:left="1800" w:right="1620"/>
        <w:jc w:val="center"/>
        <w:rPr>
          <w:color w:val="000054"/>
          <w:sz w:val="20"/>
          <w:szCs w:val="20"/>
        </w:rPr>
      </w:pPr>
      <w:r w:rsidRPr="009846D3">
        <w:rPr>
          <w:color w:val="000054"/>
          <w:sz w:val="20"/>
          <w:szCs w:val="20"/>
        </w:rPr>
        <w:t>NATIONAL PARK SERVICE</w:t>
      </w:r>
    </w:p>
    <w:bookmarkEnd w:id="0"/>
    <w:p w:rsidR="00A100BA" w:rsidRDefault="004E6A39" w:rsidP="004E6A39">
      <w:pPr>
        <w:tabs>
          <w:tab w:val="left" w:pos="-1440"/>
          <w:tab w:val="left" w:pos="-720"/>
          <w:tab w:val="left" w:pos="1440"/>
        </w:tabs>
        <w:spacing w:after="40"/>
        <w:ind w:left="1800" w:right="1620"/>
        <w:jc w:val="center"/>
        <w:rPr>
          <w:color w:val="000054"/>
          <w:sz w:val="20"/>
          <w:szCs w:val="20"/>
        </w:rPr>
      </w:pPr>
      <w:r>
        <w:rPr>
          <w:color w:val="000054"/>
          <w:sz w:val="20"/>
          <w:szCs w:val="20"/>
        </w:rPr>
        <w:t>John Muir National Historic Site</w:t>
      </w:r>
    </w:p>
    <w:p w:rsidR="004E6A39" w:rsidRDefault="004E6A39" w:rsidP="004E6A39">
      <w:pPr>
        <w:tabs>
          <w:tab w:val="left" w:pos="-1440"/>
          <w:tab w:val="left" w:pos="-720"/>
          <w:tab w:val="left" w:pos="1440"/>
        </w:tabs>
        <w:spacing w:after="40"/>
        <w:ind w:left="1800" w:right="1620"/>
        <w:jc w:val="center"/>
        <w:rPr>
          <w:color w:val="000054"/>
          <w:sz w:val="20"/>
          <w:szCs w:val="20"/>
        </w:rPr>
      </w:pPr>
      <w:smartTag w:uri="urn:schemas-microsoft-com:office:smarttags" w:element="Street">
        <w:smartTag w:uri="urn:schemas-microsoft-com:office:smarttags" w:element="address">
          <w:r>
            <w:rPr>
              <w:color w:val="000054"/>
              <w:sz w:val="20"/>
              <w:szCs w:val="20"/>
            </w:rPr>
            <w:t>4202 Alhambra Avenue</w:t>
          </w:r>
        </w:smartTag>
      </w:smartTag>
    </w:p>
    <w:p w:rsidR="004E6A39" w:rsidRPr="004E6A39" w:rsidRDefault="004E6A39" w:rsidP="004E6A39">
      <w:pPr>
        <w:tabs>
          <w:tab w:val="left" w:pos="-1440"/>
          <w:tab w:val="left" w:pos="-720"/>
          <w:tab w:val="left" w:pos="1440"/>
        </w:tabs>
        <w:spacing w:after="40"/>
        <w:ind w:left="1800" w:right="1620"/>
        <w:jc w:val="center"/>
        <w:rPr>
          <w:color w:val="000054"/>
          <w:sz w:val="20"/>
          <w:szCs w:val="20"/>
        </w:rPr>
      </w:pPr>
      <w:r>
        <w:rPr>
          <w:color w:val="000054"/>
          <w:sz w:val="20"/>
          <w:szCs w:val="20"/>
        </w:rPr>
        <w:t>Martinez, C</w:t>
      </w:r>
      <w:r w:rsidR="00D21BB4">
        <w:rPr>
          <w:color w:val="000054"/>
          <w:sz w:val="20"/>
          <w:szCs w:val="20"/>
        </w:rPr>
        <w:t>alifornia</w:t>
      </w:r>
      <w:r>
        <w:rPr>
          <w:color w:val="000054"/>
          <w:sz w:val="20"/>
          <w:szCs w:val="20"/>
        </w:rPr>
        <w:t xml:space="preserve"> 94553</w:t>
      </w:r>
    </w:p>
    <w:p w:rsidR="00A100BA" w:rsidRDefault="00A100BA">
      <w:pPr>
        <w:tabs>
          <w:tab w:val="left" w:pos="-1440"/>
          <w:tab w:val="left" w:pos="-720"/>
          <w:tab w:val="left" w:pos="1440"/>
        </w:tabs>
        <w:ind w:left="-540" w:right="1080"/>
        <w:rPr>
          <w:sz w:val="12"/>
        </w:rPr>
      </w:pPr>
    </w:p>
    <w:p w:rsidR="00E86583" w:rsidRDefault="00E86583" w:rsidP="001F595F">
      <w:pPr>
        <w:tabs>
          <w:tab w:val="left" w:pos="-1440"/>
          <w:tab w:val="left" w:pos="-720"/>
          <w:tab w:val="left" w:pos="1440"/>
        </w:tabs>
        <w:ind w:left="-360" w:right="1080"/>
        <w:rPr>
          <w:color w:val="000054"/>
          <w:sz w:val="12"/>
        </w:rPr>
      </w:pPr>
    </w:p>
    <w:p w:rsidR="005D51C6" w:rsidRDefault="005D51C6" w:rsidP="001F595F">
      <w:pPr>
        <w:tabs>
          <w:tab w:val="left" w:pos="-1440"/>
          <w:tab w:val="left" w:pos="-720"/>
          <w:tab w:val="left" w:pos="1440"/>
        </w:tabs>
        <w:ind w:left="-360" w:right="1080"/>
        <w:rPr>
          <w:color w:val="000054"/>
          <w:sz w:val="12"/>
        </w:rPr>
      </w:pPr>
    </w:p>
    <w:p w:rsidR="001F595F" w:rsidRDefault="00D21BB4" w:rsidP="001F595F">
      <w:pPr>
        <w:tabs>
          <w:tab w:val="left" w:pos="-1440"/>
          <w:tab w:val="left" w:pos="-720"/>
          <w:tab w:val="left" w:pos="1440"/>
        </w:tabs>
        <w:ind w:left="-360" w:right="1080"/>
        <w:rPr>
          <w:color w:val="000054"/>
          <w:sz w:val="12"/>
        </w:rPr>
      </w:pPr>
      <w:r>
        <w:rPr>
          <w:color w:val="000054"/>
          <w:sz w:val="12"/>
        </w:rPr>
        <w:t xml:space="preserve">    </w:t>
      </w:r>
      <w:r w:rsidR="005D51C6">
        <w:rPr>
          <w:color w:val="000054"/>
          <w:sz w:val="12"/>
        </w:rPr>
        <w:t>I</w:t>
      </w:r>
      <w:r w:rsidR="00A100BA" w:rsidRPr="009846D3">
        <w:rPr>
          <w:color w:val="000054"/>
          <w:sz w:val="12"/>
        </w:rPr>
        <w:t>N REPLY REFER TO:</w:t>
      </w:r>
    </w:p>
    <w:p w:rsidR="00433E49" w:rsidRDefault="00433E49" w:rsidP="001F595F">
      <w:pPr>
        <w:tabs>
          <w:tab w:val="left" w:pos="-1440"/>
          <w:tab w:val="left" w:pos="-720"/>
          <w:tab w:val="left" w:pos="1440"/>
        </w:tabs>
        <w:ind w:left="-360" w:right="1080"/>
        <w:rPr>
          <w:color w:val="000054"/>
          <w:sz w:val="12"/>
        </w:rPr>
      </w:pPr>
      <w:bookmarkStart w:id="1" w:name="_GoBack"/>
      <w:bookmarkEnd w:id="1"/>
    </w:p>
    <w:p w:rsidR="00433E49" w:rsidRDefault="00433E49" w:rsidP="001F595F">
      <w:pPr>
        <w:tabs>
          <w:tab w:val="left" w:pos="-1440"/>
          <w:tab w:val="left" w:pos="-720"/>
          <w:tab w:val="left" w:pos="1440"/>
        </w:tabs>
        <w:ind w:left="-360" w:right="1080"/>
        <w:rPr>
          <w:color w:val="000054"/>
          <w:sz w:val="12"/>
        </w:rPr>
      </w:pPr>
    </w:p>
    <w:p w:rsidR="00D322BA" w:rsidRPr="00D322BA" w:rsidRDefault="00D322BA" w:rsidP="00D322BA">
      <w:pPr>
        <w:rPr>
          <w:color w:val="000000"/>
        </w:rPr>
      </w:pPr>
      <w:r w:rsidRPr="00D322BA">
        <w:rPr>
          <w:color w:val="000000"/>
        </w:rPr>
        <w:t xml:space="preserve">10D </w:t>
      </w:r>
      <w:r>
        <w:rPr>
          <w:color w:val="000000"/>
        </w:rPr>
        <w:t>JOMU</w:t>
      </w:r>
      <w:r w:rsidRPr="00D322BA">
        <w:rPr>
          <w:color w:val="000000"/>
        </w:rPr>
        <w:t>-VRP)</w:t>
      </w:r>
    </w:p>
    <w:p w:rsidR="00D322BA" w:rsidRPr="00D322BA" w:rsidRDefault="00D322BA" w:rsidP="00D322BA">
      <w:pPr>
        <w:rPr>
          <w:color w:val="000000"/>
        </w:rPr>
      </w:pPr>
    </w:p>
    <w:p w:rsidR="00D322BA" w:rsidRPr="00D322BA" w:rsidRDefault="00D322BA" w:rsidP="00D322BA">
      <w:pPr>
        <w:rPr>
          <w:color w:val="000000"/>
        </w:rPr>
      </w:pPr>
    </w:p>
    <w:p w:rsidR="00D322BA" w:rsidRPr="00D322BA" w:rsidRDefault="00D322BA" w:rsidP="00D322BA">
      <w:pPr>
        <w:rPr>
          <w:color w:val="000000"/>
        </w:rPr>
      </w:pPr>
      <w:r w:rsidRPr="00D322BA">
        <w:rPr>
          <w:color w:val="000000"/>
        </w:rPr>
        <w:t>Closure Order #20-001</w:t>
      </w:r>
    </w:p>
    <w:p w:rsidR="00D322BA" w:rsidRPr="00D322BA" w:rsidRDefault="00D322BA" w:rsidP="00D322BA">
      <w:pPr>
        <w:rPr>
          <w:color w:val="000000"/>
        </w:rPr>
      </w:pPr>
    </w:p>
    <w:p w:rsidR="00D322BA" w:rsidRPr="00D322BA" w:rsidRDefault="00D322BA" w:rsidP="00D322BA">
      <w:pPr>
        <w:rPr>
          <w:color w:val="000000"/>
        </w:rPr>
      </w:pPr>
      <w:r w:rsidRPr="00D322BA">
        <w:rPr>
          <w:color w:val="000000"/>
        </w:rPr>
        <w:t>3/17/2020</w:t>
      </w:r>
    </w:p>
    <w:p w:rsidR="00D322BA" w:rsidRPr="00D322BA" w:rsidRDefault="00D322BA" w:rsidP="00D322BA">
      <w:pPr>
        <w:rPr>
          <w:color w:val="000000"/>
        </w:rPr>
      </w:pPr>
    </w:p>
    <w:p w:rsidR="00D322BA" w:rsidRPr="00626FBB" w:rsidRDefault="00D322BA" w:rsidP="00D322BA">
      <w:pPr>
        <w:rPr>
          <w:kern w:val="36"/>
        </w:rPr>
      </w:pPr>
      <w:bookmarkStart w:id="2" w:name="_Hlk36709683"/>
      <w:r w:rsidRPr="00D322BA">
        <w:rPr>
          <w:color w:val="000000"/>
          <w:kern w:val="36"/>
        </w:rPr>
        <w:t xml:space="preserve">Closures, restrictions and </w:t>
      </w:r>
      <w:r w:rsidRPr="00626FBB">
        <w:rPr>
          <w:kern w:val="36"/>
        </w:rPr>
        <w:t>public use limits</w:t>
      </w:r>
      <w:bookmarkEnd w:id="2"/>
      <w:r w:rsidRPr="00626FBB">
        <w:rPr>
          <w:kern w:val="36"/>
        </w:rPr>
        <w:t>:</w:t>
      </w:r>
    </w:p>
    <w:p w:rsidR="00D322BA" w:rsidRPr="00626FBB" w:rsidRDefault="00D322BA" w:rsidP="00D322BA">
      <w:pPr>
        <w:rPr>
          <w:kern w:val="36"/>
        </w:rPr>
      </w:pPr>
    </w:p>
    <w:p w:rsidR="00D322BA" w:rsidRPr="00D322BA" w:rsidRDefault="00D322BA" w:rsidP="00D322BA">
      <w:pPr>
        <w:shd w:val="clear" w:color="auto" w:fill="FFFFFF"/>
        <w:textAlignment w:val="baseline"/>
        <w:rPr>
          <w:color w:val="000000"/>
        </w:rPr>
      </w:pPr>
      <w:r w:rsidRPr="00626FBB">
        <w:rPr>
          <w:color w:val="000000"/>
          <w:u w:val="single"/>
          <w:bdr w:val="none" w:sz="0" w:space="0" w:color="auto" w:frame="1"/>
        </w:rPr>
        <w:t>Closure Order – Portion of a Park Area</w:t>
      </w:r>
      <w:r w:rsidRPr="00626FBB">
        <w:rPr>
          <w:color w:val="000000"/>
          <w:bdr w:val="none" w:sz="0" w:space="0" w:color="auto" w:frame="1"/>
        </w:rPr>
        <w:t xml:space="preserve">: Under the authority provided to the Superintendent in 36 CFR </w:t>
      </w:r>
      <w:r w:rsidRPr="00D322BA">
        <w:rPr>
          <w:color w:val="000000"/>
          <w:bdr w:val="none" w:sz="0" w:space="0" w:color="auto" w:frame="1"/>
        </w:rPr>
        <w:t xml:space="preserve">1.5, </w:t>
      </w:r>
      <w:r w:rsidRPr="00626FBB">
        <w:rPr>
          <w:color w:val="000000"/>
          <w:bdr w:val="none" w:sz="0" w:space="0" w:color="auto" w:frame="1"/>
        </w:rPr>
        <w:t xml:space="preserve">the follow park areas and facilities are closed, effective immediately, until further </w:t>
      </w:r>
      <w:r w:rsidRPr="00D322BA">
        <w:rPr>
          <w:color w:val="000000"/>
          <w:bdr w:val="none" w:sz="0" w:space="0" w:color="auto" w:frame="1"/>
        </w:rPr>
        <w:t>notice: </w:t>
      </w:r>
    </w:p>
    <w:p w:rsidR="00D322BA" w:rsidRPr="00D322BA" w:rsidRDefault="00D322BA" w:rsidP="00D322BA">
      <w:pPr>
        <w:numPr>
          <w:ilvl w:val="0"/>
          <w:numId w:val="6"/>
        </w:numPr>
        <w:shd w:val="clear" w:color="auto" w:fill="FFFFFF"/>
        <w:spacing w:beforeAutospacing="1" w:afterAutospacing="1"/>
        <w:textAlignment w:val="baseline"/>
        <w:rPr>
          <w:color w:val="000000"/>
        </w:rPr>
      </w:pPr>
      <w:r>
        <w:rPr>
          <w:color w:val="000000"/>
          <w:bdr w:val="none" w:sz="0" w:space="0" w:color="auto" w:frame="1"/>
        </w:rPr>
        <w:t>Visitor center, including the parking lot</w:t>
      </w:r>
    </w:p>
    <w:p w:rsidR="00D322BA" w:rsidRPr="00D322BA" w:rsidRDefault="00D322BA" w:rsidP="00D322BA">
      <w:pPr>
        <w:numPr>
          <w:ilvl w:val="0"/>
          <w:numId w:val="6"/>
        </w:numPr>
        <w:shd w:val="clear" w:color="auto" w:fill="FFFFFF"/>
        <w:spacing w:beforeAutospacing="1" w:afterAutospacing="1"/>
        <w:textAlignment w:val="baseline"/>
        <w:rPr>
          <w:color w:val="000000"/>
        </w:rPr>
      </w:pPr>
      <w:r>
        <w:rPr>
          <w:color w:val="000000"/>
        </w:rPr>
        <w:t>Muir house and grounds adjacent to the visitor center</w:t>
      </w:r>
    </w:p>
    <w:p w:rsidR="00D322BA" w:rsidRPr="00D322BA" w:rsidRDefault="00D322BA" w:rsidP="00D322BA">
      <w:pPr>
        <w:numPr>
          <w:ilvl w:val="0"/>
          <w:numId w:val="6"/>
        </w:numPr>
        <w:shd w:val="clear" w:color="auto" w:fill="FFFFFF"/>
        <w:spacing w:beforeAutospacing="1" w:afterAutospacing="1"/>
        <w:textAlignment w:val="baseline"/>
        <w:rPr>
          <w:color w:val="000000"/>
        </w:rPr>
      </w:pPr>
      <w:r>
        <w:rPr>
          <w:color w:val="000000"/>
          <w:bdr w:val="none" w:sz="0" w:space="0" w:color="auto" w:frame="1"/>
        </w:rPr>
        <w:t xml:space="preserve">Tours of the </w:t>
      </w:r>
      <w:proofErr w:type="spellStart"/>
      <w:r>
        <w:rPr>
          <w:color w:val="000000"/>
          <w:bdr w:val="none" w:sz="0" w:space="0" w:color="auto" w:frame="1"/>
        </w:rPr>
        <w:t>Strentzel</w:t>
      </w:r>
      <w:proofErr w:type="spellEnd"/>
      <w:r>
        <w:rPr>
          <w:color w:val="000000"/>
          <w:bdr w:val="none" w:sz="0" w:space="0" w:color="auto" w:frame="1"/>
        </w:rPr>
        <w:t>/Muir gravesite</w:t>
      </w:r>
    </w:p>
    <w:p w:rsidR="00D322BA" w:rsidRPr="00D322BA" w:rsidRDefault="00D322BA" w:rsidP="00D322BA">
      <w:pPr>
        <w:shd w:val="clear" w:color="auto" w:fill="FFFFFF"/>
        <w:spacing w:beforeAutospacing="1" w:afterAutospacing="1"/>
        <w:ind w:firstLine="360"/>
        <w:textAlignment w:val="baseline"/>
        <w:rPr>
          <w:color w:val="000000"/>
        </w:rPr>
      </w:pPr>
      <w:r w:rsidRPr="00D322BA">
        <w:rPr>
          <w:color w:val="000000"/>
          <w:bdr w:val="none" w:sz="0" w:space="0" w:color="auto" w:frame="1"/>
        </w:rPr>
        <w:t xml:space="preserve">Authority: 36 CFR 1.5(a)(1) </w:t>
      </w:r>
    </w:p>
    <w:p w:rsidR="00D322BA" w:rsidRPr="00D322BA" w:rsidRDefault="00D322BA" w:rsidP="00D322BA">
      <w:pPr>
        <w:autoSpaceDE w:val="0"/>
        <w:autoSpaceDN w:val="0"/>
        <w:adjustRightInd w:val="0"/>
        <w:rPr>
          <w:color w:val="000000"/>
        </w:rPr>
      </w:pPr>
      <w:r w:rsidRPr="00626FBB">
        <w:rPr>
          <w:color w:val="353535"/>
          <w:u w:val="single"/>
        </w:rPr>
        <w:t>Notice</w:t>
      </w:r>
      <w:r w:rsidRPr="00626FBB">
        <w:rPr>
          <w:color w:val="353535"/>
        </w:rPr>
        <w:t xml:space="preserve">: </w:t>
      </w:r>
      <w:r w:rsidRPr="00626FBB">
        <w:t xml:space="preserve">This </w:t>
      </w:r>
      <w:r w:rsidRPr="00D322BA">
        <w:rPr>
          <w:color w:val="000000"/>
        </w:rPr>
        <w:t xml:space="preserve">administrative order applies to all individuals subject to the regulatory authority of the National Park Service (NPS) within the boundaries of </w:t>
      </w:r>
      <w:r w:rsidRPr="00D322BA">
        <w:rPr>
          <w:color w:val="000000"/>
          <w:bdr w:val="none" w:sz="0" w:space="0" w:color="auto" w:frame="1"/>
        </w:rPr>
        <w:t xml:space="preserve">EUON </w:t>
      </w:r>
      <w:r w:rsidRPr="00D322BA">
        <w:rPr>
          <w:color w:val="000000"/>
        </w:rPr>
        <w:t xml:space="preserve">including park visitors, government employees, and stakeholders, except as follows: employees working in their designated government workspace on assigned activities may access facilities at the site.  Employees working </w:t>
      </w:r>
      <w:r w:rsidR="007E1780">
        <w:rPr>
          <w:color w:val="000000"/>
        </w:rPr>
        <w:t xml:space="preserve">on the grounds </w:t>
      </w:r>
      <w:r w:rsidRPr="00D322BA">
        <w:rPr>
          <w:color w:val="000000"/>
        </w:rPr>
        <w:t xml:space="preserve">in accordance with established social distancing protocols may access these facilities to ensure they are maintained and secure.  Care of museum collections in </w:t>
      </w:r>
      <w:r w:rsidR="007E1780">
        <w:rPr>
          <w:color w:val="000000"/>
        </w:rPr>
        <w:t>the Muir House</w:t>
      </w:r>
      <w:r w:rsidRPr="00D322BA">
        <w:rPr>
          <w:color w:val="000000"/>
        </w:rPr>
        <w:t xml:space="preserve"> may also continue.</w:t>
      </w:r>
    </w:p>
    <w:p w:rsidR="00D322BA" w:rsidRPr="00626FBB" w:rsidRDefault="00D322BA" w:rsidP="00D322BA">
      <w:pPr>
        <w:shd w:val="clear" w:color="auto" w:fill="FFFFFF"/>
        <w:textAlignment w:val="baseline"/>
        <w:rPr>
          <w:color w:val="000000"/>
          <w:u w:val="single"/>
          <w:bdr w:val="none" w:sz="0" w:space="0" w:color="auto" w:frame="1"/>
        </w:rPr>
      </w:pPr>
    </w:p>
    <w:p w:rsidR="00D322BA" w:rsidRPr="00977A1C" w:rsidRDefault="00D322BA" w:rsidP="00D322BA">
      <w:pPr>
        <w:shd w:val="clear" w:color="auto" w:fill="FFFFFF"/>
        <w:textAlignment w:val="baseline"/>
        <w:rPr>
          <w:color w:val="000000"/>
          <w:bdr w:val="none" w:sz="0" w:space="0" w:color="auto" w:frame="1"/>
        </w:rPr>
      </w:pPr>
      <w:r w:rsidRPr="00626FBB">
        <w:rPr>
          <w:color w:val="000000"/>
          <w:u w:val="single"/>
          <w:bdr w:val="none" w:sz="0" w:space="0" w:color="auto" w:frame="1"/>
        </w:rPr>
        <w:t>Finding</w:t>
      </w:r>
      <w:r w:rsidRPr="00626FBB">
        <w:rPr>
          <w:color w:val="000000"/>
          <w:bdr w:val="none" w:sz="0" w:space="0" w:color="auto" w:frame="1"/>
        </w:rPr>
        <w:t xml:space="preserve">:  The NPS issues this </w:t>
      </w:r>
      <w:r>
        <w:rPr>
          <w:color w:val="000000"/>
          <w:bdr w:val="none" w:sz="0" w:space="0" w:color="auto" w:frame="1"/>
        </w:rPr>
        <w:t xml:space="preserve">administrative </w:t>
      </w:r>
      <w:r w:rsidRPr="00626FBB">
        <w:rPr>
          <w:color w:val="000000"/>
          <w:bdr w:val="none" w:sz="0" w:space="0" w:color="auto" w:frame="1"/>
        </w:rPr>
        <w:t xml:space="preserve">order for the purposes of maintaining public health and safety during the COVID-19 pandemic emergency. This order is consistent with the </w:t>
      </w:r>
      <w:r w:rsidRPr="00D322BA">
        <w:rPr>
          <w:color w:val="000000"/>
          <w:bdr w:val="none" w:sz="0" w:space="0" w:color="auto" w:frame="1"/>
        </w:rPr>
        <w:t xml:space="preserve">following Contra Costa County </w:t>
      </w:r>
      <w:r w:rsidRPr="00977A1C">
        <w:rPr>
          <w:color w:val="000000"/>
          <w:bdr w:val="none" w:sz="0" w:space="0" w:color="auto" w:frame="1"/>
        </w:rPr>
        <w:t>public health directives: </w:t>
      </w:r>
    </w:p>
    <w:p w:rsidR="00D322BA" w:rsidRPr="00E26F07" w:rsidRDefault="00D322BA" w:rsidP="00D322BA">
      <w:pPr>
        <w:pStyle w:val="ListParagraph"/>
        <w:shd w:val="clear" w:color="auto" w:fill="FFFFFF"/>
        <w:textAlignment w:val="baseline"/>
        <w:rPr>
          <w:rFonts w:ascii="Times New Roman" w:hAnsi="Times New Roman"/>
          <w:color w:val="201F1E"/>
          <w:sz w:val="24"/>
          <w:szCs w:val="24"/>
          <w:bdr w:val="none" w:sz="0" w:space="0" w:color="auto" w:frame="1"/>
        </w:rPr>
      </w:pPr>
    </w:p>
    <w:p w:rsidR="00D322BA" w:rsidRDefault="00D322BA" w:rsidP="00D322BA">
      <w:pPr>
        <w:pStyle w:val="ListParagraph"/>
        <w:numPr>
          <w:ilvl w:val="0"/>
          <w:numId w:val="8"/>
        </w:numPr>
        <w:shd w:val="clear" w:color="auto" w:fill="FFFFFF"/>
        <w:textAlignment w:val="baseline"/>
        <w:rPr>
          <w:rFonts w:ascii="Times New Roman" w:hAnsi="Times New Roman"/>
          <w:color w:val="201F1E"/>
          <w:sz w:val="24"/>
          <w:szCs w:val="24"/>
          <w:bdr w:val="none" w:sz="0" w:space="0" w:color="auto" w:frame="1"/>
        </w:rPr>
      </w:pPr>
      <w:r w:rsidRPr="00E26F07">
        <w:rPr>
          <w:rFonts w:ascii="Times New Roman" w:hAnsi="Times New Roman"/>
          <w:color w:val="201F1E"/>
          <w:sz w:val="24"/>
          <w:szCs w:val="24"/>
          <w:bdr w:val="none" w:sz="0" w:space="0" w:color="auto" w:frame="1"/>
        </w:rPr>
        <w:t xml:space="preserve">All individuals currently living within Contra Costa County (the “County”) are ordered to shelter at their place of residence. To the extent individuals are using shared or outdoor spaces, they must at all times as reasonably possible maintain social distancing of at least six </w:t>
      </w:r>
      <w:r w:rsidRPr="00E26F07">
        <w:rPr>
          <w:rFonts w:ascii="Times New Roman" w:hAnsi="Times New Roman"/>
          <w:color w:val="201F1E"/>
          <w:sz w:val="24"/>
          <w:szCs w:val="24"/>
          <w:bdr w:val="none" w:sz="0" w:space="0" w:color="auto" w:frame="1"/>
        </w:rPr>
        <w:lastRenderedPageBreak/>
        <w:t>feet from any other person when they are outside their residence. All persons may leave their residences only for Essential Activities, Essential Governmental Functions, or to operate Essential Businesses, all as defined in Section 10.</w:t>
      </w:r>
    </w:p>
    <w:p w:rsidR="00D322BA" w:rsidRPr="00E26F07" w:rsidRDefault="00D322BA" w:rsidP="00D322BA">
      <w:pPr>
        <w:pStyle w:val="ListParagraph"/>
        <w:numPr>
          <w:ilvl w:val="0"/>
          <w:numId w:val="8"/>
        </w:numPr>
        <w:shd w:val="clear" w:color="auto" w:fill="FFFFFF"/>
        <w:textAlignment w:val="baseline"/>
        <w:rPr>
          <w:rFonts w:ascii="Times New Roman" w:hAnsi="Times New Roman"/>
          <w:color w:val="201F1E"/>
          <w:sz w:val="24"/>
          <w:szCs w:val="24"/>
          <w:bdr w:val="none" w:sz="0" w:space="0" w:color="auto" w:frame="1"/>
        </w:rPr>
      </w:pPr>
      <w:r w:rsidRPr="00E26F07">
        <w:rPr>
          <w:rFonts w:ascii="Times New Roman" w:hAnsi="Times New Roman"/>
          <w:color w:val="201F1E"/>
          <w:sz w:val="24"/>
          <w:szCs w:val="24"/>
          <w:bdr w:val="none" w:sz="0" w:space="0" w:color="auto" w:frame="1"/>
        </w:rPr>
        <w:t>All public and private gatherings of any number of people occurring outside a household or living unit are prohibited, except for the limited purposes as expressly permitted in</w:t>
      </w:r>
      <w:r>
        <w:rPr>
          <w:rFonts w:ascii="Times New Roman" w:hAnsi="Times New Roman"/>
          <w:color w:val="201F1E"/>
          <w:sz w:val="24"/>
          <w:szCs w:val="24"/>
          <w:bdr w:val="none" w:sz="0" w:space="0" w:color="auto" w:frame="1"/>
        </w:rPr>
        <w:t xml:space="preserve"> </w:t>
      </w:r>
      <w:r w:rsidRPr="00E26F07">
        <w:rPr>
          <w:rFonts w:ascii="Times New Roman" w:hAnsi="Times New Roman"/>
          <w:color w:val="201F1E"/>
          <w:sz w:val="24"/>
          <w:szCs w:val="24"/>
          <w:bdr w:val="none" w:sz="0" w:space="0" w:color="auto" w:frame="1"/>
        </w:rPr>
        <w:t>Section 10.</w:t>
      </w:r>
    </w:p>
    <w:p w:rsidR="00D322BA" w:rsidRPr="00977A1C" w:rsidRDefault="00D322BA" w:rsidP="00D322BA">
      <w:pPr>
        <w:pStyle w:val="ListParagraph"/>
        <w:shd w:val="clear" w:color="auto" w:fill="FFFFFF"/>
        <w:textAlignment w:val="baseline"/>
        <w:rPr>
          <w:rFonts w:ascii="Times New Roman" w:hAnsi="Times New Roman"/>
          <w:color w:val="201F1E"/>
          <w:sz w:val="24"/>
          <w:szCs w:val="24"/>
          <w:bdr w:val="none" w:sz="0" w:space="0" w:color="auto" w:frame="1"/>
        </w:rPr>
      </w:pPr>
    </w:p>
    <w:p w:rsidR="00D322BA" w:rsidRDefault="00D322BA" w:rsidP="00D322BA">
      <w:pPr>
        <w:pStyle w:val="ListParagraph"/>
        <w:shd w:val="clear" w:color="auto" w:fill="FFFFFF"/>
        <w:ind w:left="0"/>
        <w:textAlignment w:val="baseline"/>
        <w:rPr>
          <w:rFonts w:ascii="Times New Roman" w:hAnsi="Times New Roman"/>
          <w:color w:val="201F1E"/>
          <w:sz w:val="24"/>
          <w:szCs w:val="24"/>
          <w:bdr w:val="none" w:sz="0" w:space="0" w:color="auto" w:frame="1"/>
        </w:rPr>
      </w:pPr>
      <w:r w:rsidRPr="00977A1C">
        <w:rPr>
          <w:rFonts w:ascii="Times New Roman" w:hAnsi="Times New Roman"/>
          <w:color w:val="201F1E"/>
          <w:sz w:val="24"/>
          <w:szCs w:val="24"/>
          <w:bdr w:val="none" w:sz="0" w:space="0" w:color="auto" w:frame="1"/>
        </w:rPr>
        <w:t>These directives require the NPS to take the actions identified above because</w:t>
      </w:r>
      <w:r>
        <w:rPr>
          <w:rFonts w:ascii="Times New Roman" w:hAnsi="Times New Roman"/>
          <w:color w:val="201F1E"/>
          <w:sz w:val="24"/>
          <w:szCs w:val="24"/>
          <w:bdr w:val="none" w:sz="0" w:space="0" w:color="auto" w:frame="1"/>
        </w:rPr>
        <w:t>:</w:t>
      </w:r>
    </w:p>
    <w:p w:rsidR="00D322BA" w:rsidRDefault="00D322BA" w:rsidP="00D322BA">
      <w:pPr>
        <w:pStyle w:val="ListParagraph"/>
        <w:shd w:val="clear" w:color="auto" w:fill="FFFFFF"/>
        <w:ind w:left="0"/>
        <w:textAlignment w:val="baseline"/>
        <w:rPr>
          <w:rFonts w:ascii="Times New Roman" w:hAnsi="Times New Roman"/>
          <w:color w:val="201F1E"/>
          <w:sz w:val="24"/>
          <w:szCs w:val="24"/>
          <w:bdr w:val="none" w:sz="0" w:space="0" w:color="auto" w:frame="1"/>
        </w:rPr>
      </w:pPr>
    </w:p>
    <w:p w:rsidR="007E1780" w:rsidRPr="007E1780" w:rsidRDefault="007E1780" w:rsidP="007E1780">
      <w:pPr>
        <w:pStyle w:val="ListParagraph"/>
        <w:numPr>
          <w:ilvl w:val="0"/>
          <w:numId w:val="7"/>
        </w:numPr>
        <w:shd w:val="clear" w:color="auto" w:fill="FFFFFF"/>
        <w:textAlignment w:val="baseline"/>
        <w:rPr>
          <w:rFonts w:ascii="Times New Roman" w:hAnsi="Times New Roman"/>
          <w:color w:val="000000"/>
          <w:sz w:val="24"/>
          <w:szCs w:val="24"/>
          <w:bdr w:val="none" w:sz="0" w:space="0" w:color="auto" w:frame="1"/>
        </w:rPr>
      </w:pPr>
      <w:r w:rsidRPr="007E1780">
        <w:rPr>
          <w:rFonts w:ascii="Times New Roman" w:hAnsi="Times New Roman"/>
          <w:color w:val="000000"/>
          <w:sz w:val="24"/>
          <w:szCs w:val="24"/>
          <w:bdr w:val="none" w:sz="0" w:space="0" w:color="auto" w:frame="1"/>
        </w:rPr>
        <w:t>Public health directives require social distancing to slow the spread of COVID-19. Allowing visitors on the shuttle to the site and tours of the house would violate the requirement that persons stay at least 6 feet from each other.</w:t>
      </w:r>
    </w:p>
    <w:p w:rsidR="007E1780" w:rsidRPr="007E1780" w:rsidRDefault="007E1780" w:rsidP="007E1780">
      <w:pPr>
        <w:pStyle w:val="ListParagraph"/>
        <w:numPr>
          <w:ilvl w:val="0"/>
          <w:numId w:val="7"/>
        </w:numPr>
        <w:shd w:val="clear" w:color="auto" w:fill="FFFFFF"/>
        <w:textAlignment w:val="baseline"/>
        <w:rPr>
          <w:rFonts w:ascii="Times New Roman" w:hAnsi="Times New Roman"/>
          <w:color w:val="000000"/>
          <w:sz w:val="24"/>
          <w:szCs w:val="24"/>
          <w:bdr w:val="none" w:sz="0" w:space="0" w:color="auto" w:frame="1"/>
        </w:rPr>
      </w:pPr>
      <w:r w:rsidRPr="007E1780">
        <w:rPr>
          <w:rFonts w:ascii="Times New Roman" w:hAnsi="Times New Roman"/>
          <w:color w:val="000000"/>
          <w:sz w:val="24"/>
          <w:szCs w:val="24"/>
          <w:bdr w:val="none" w:sz="0" w:space="0" w:color="auto" w:frame="1"/>
        </w:rPr>
        <w:t xml:space="preserve">Public health directors prohibit gatherings of any number of people who are not living together. Allowing individuals to participate in tours and at events within the park increases the risk of disease introduction and spread, putting employees and visitors at undue risk. </w:t>
      </w:r>
    </w:p>
    <w:p w:rsidR="00D322BA" w:rsidRDefault="00D322BA" w:rsidP="00D322BA">
      <w:r w:rsidRPr="00626FBB">
        <w:t xml:space="preserve">This </w:t>
      </w:r>
      <w:r>
        <w:t xml:space="preserve">order </w:t>
      </w:r>
      <w:r w:rsidRPr="00626FBB">
        <w:t xml:space="preserve">is effective immediately and will </w:t>
      </w:r>
      <w:r>
        <w:t>remain in effect until further notice</w:t>
      </w:r>
      <w:r w:rsidRPr="00626FBB">
        <w:t>.</w:t>
      </w:r>
      <w:r>
        <w:t xml:space="preserve"> The effectiveness of this order will be assessed on an ongoing basis, and the order will be modified or rescinded when conditions warrant. </w:t>
      </w:r>
    </w:p>
    <w:p w:rsidR="00D322BA" w:rsidRPr="00626FBB" w:rsidRDefault="00D322BA" w:rsidP="00D322BA"/>
    <w:p w:rsidR="00D322BA" w:rsidRPr="00626FBB" w:rsidRDefault="00D322BA" w:rsidP="00D322BA"/>
    <w:p w:rsidR="00D322BA" w:rsidRDefault="00D322BA" w:rsidP="00D322BA"/>
    <w:p w:rsidR="00D322BA" w:rsidRPr="00626FBB" w:rsidRDefault="00D322BA" w:rsidP="00D322BA">
      <w:r w:rsidRPr="00626FBB">
        <w:t xml:space="preserve">Approval:   ______________________________          </w:t>
      </w:r>
      <w:r>
        <w:tab/>
      </w:r>
      <w:r w:rsidRPr="00626FBB">
        <w:t>_____________</w:t>
      </w:r>
    </w:p>
    <w:p w:rsidR="00D322BA" w:rsidRPr="00626FBB" w:rsidRDefault="00D322BA" w:rsidP="00D322BA">
      <w:r w:rsidRPr="00626FBB">
        <w:tab/>
        <w:t xml:space="preserve">       Superintendent </w:t>
      </w:r>
      <w:r>
        <w:tab/>
      </w:r>
      <w:r>
        <w:tab/>
      </w:r>
      <w:r>
        <w:tab/>
      </w:r>
      <w:r>
        <w:tab/>
      </w:r>
      <w:r>
        <w:tab/>
        <w:t>Date</w:t>
      </w:r>
    </w:p>
    <w:p w:rsidR="00433E49" w:rsidRDefault="00433E49" w:rsidP="00433E49">
      <w:r>
        <w:tab/>
      </w:r>
    </w:p>
    <w:p w:rsidR="00433E49" w:rsidRDefault="00433E49" w:rsidP="00433E49"/>
    <w:p w:rsidR="00433E49" w:rsidRDefault="00433E49" w:rsidP="00433E49"/>
    <w:p w:rsidR="00433E49" w:rsidRDefault="00433E49" w:rsidP="001F595F">
      <w:pPr>
        <w:tabs>
          <w:tab w:val="left" w:pos="-1440"/>
          <w:tab w:val="left" w:pos="-720"/>
          <w:tab w:val="left" w:pos="1440"/>
        </w:tabs>
        <w:ind w:left="-360" w:right="1080"/>
        <w:rPr>
          <w:color w:val="000054"/>
          <w:sz w:val="12"/>
        </w:rPr>
      </w:pPr>
    </w:p>
    <w:sectPr w:rsidR="00433E49" w:rsidSect="00433E49">
      <w:headerReference w:type="even" r:id="rId8"/>
      <w:headerReference w:type="default" r:id="rId9"/>
      <w:type w:val="continuous"/>
      <w:pgSz w:w="12240" w:h="15840"/>
      <w:pgMar w:top="990" w:right="1440" w:bottom="27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A6" w:rsidRDefault="002316A6">
      <w:r>
        <w:separator/>
      </w:r>
    </w:p>
  </w:endnote>
  <w:endnote w:type="continuationSeparator" w:id="0">
    <w:p w:rsidR="002316A6" w:rsidRDefault="0023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A6" w:rsidRDefault="002316A6">
      <w:r>
        <w:separator/>
      </w:r>
    </w:p>
  </w:footnote>
  <w:footnote w:type="continuationSeparator" w:id="0">
    <w:p w:rsidR="002316A6" w:rsidRDefault="0023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39" w:rsidRDefault="004E6A39"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A39" w:rsidRDefault="004E6A39" w:rsidP="00E42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39" w:rsidRDefault="004E6A39"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E49">
      <w:rPr>
        <w:rStyle w:val="PageNumber"/>
        <w:noProof/>
      </w:rPr>
      <w:t>2</w:t>
    </w:r>
    <w:r>
      <w:rPr>
        <w:rStyle w:val="PageNumber"/>
      </w:rPr>
      <w:fldChar w:fldCharType="end"/>
    </w:r>
  </w:p>
  <w:p w:rsidR="004E6A39" w:rsidRDefault="004E6A39" w:rsidP="00E42B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25C3F"/>
    <w:multiLevelType w:val="hybridMultilevel"/>
    <w:tmpl w:val="543A99C4"/>
    <w:lvl w:ilvl="0" w:tplc="EA2890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20368"/>
    <w:multiLevelType w:val="hybridMultilevel"/>
    <w:tmpl w:val="C2B0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61037"/>
    <w:multiLevelType w:val="multilevel"/>
    <w:tmpl w:val="7D6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96ECF"/>
    <w:multiLevelType w:val="hybridMultilevel"/>
    <w:tmpl w:val="7618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228B3"/>
    <w:multiLevelType w:val="hybridMultilevel"/>
    <w:tmpl w:val="42C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6B13"/>
    <w:multiLevelType w:val="hybridMultilevel"/>
    <w:tmpl w:val="31C22DC8"/>
    <w:lvl w:ilvl="0" w:tplc="9A08A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970D1B"/>
    <w:multiLevelType w:val="hybridMultilevel"/>
    <w:tmpl w:val="BD6C6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F3"/>
    <w:rsid w:val="00050E52"/>
    <w:rsid w:val="00062ED5"/>
    <w:rsid w:val="00072CC5"/>
    <w:rsid w:val="00092DAA"/>
    <w:rsid w:val="000A2FB0"/>
    <w:rsid w:val="000B216F"/>
    <w:rsid w:val="000C0E03"/>
    <w:rsid w:val="000D295A"/>
    <w:rsid w:val="000D3922"/>
    <w:rsid w:val="000D58FF"/>
    <w:rsid w:val="000F520A"/>
    <w:rsid w:val="00112F66"/>
    <w:rsid w:val="00113D70"/>
    <w:rsid w:val="00122AEE"/>
    <w:rsid w:val="0016639F"/>
    <w:rsid w:val="00170B88"/>
    <w:rsid w:val="001C0DB3"/>
    <w:rsid w:val="001D30BF"/>
    <w:rsid w:val="001D664A"/>
    <w:rsid w:val="001F595F"/>
    <w:rsid w:val="002144AB"/>
    <w:rsid w:val="002316A6"/>
    <w:rsid w:val="0027617D"/>
    <w:rsid w:val="00280C06"/>
    <w:rsid w:val="00283B69"/>
    <w:rsid w:val="00291892"/>
    <w:rsid w:val="00291B81"/>
    <w:rsid w:val="00295DCE"/>
    <w:rsid w:val="002A34E6"/>
    <w:rsid w:val="002F0FFE"/>
    <w:rsid w:val="00350EE9"/>
    <w:rsid w:val="00367EC9"/>
    <w:rsid w:val="0038212B"/>
    <w:rsid w:val="0039086A"/>
    <w:rsid w:val="003E0781"/>
    <w:rsid w:val="00404EBE"/>
    <w:rsid w:val="004075BA"/>
    <w:rsid w:val="004104D3"/>
    <w:rsid w:val="00410CB5"/>
    <w:rsid w:val="00433E49"/>
    <w:rsid w:val="00434233"/>
    <w:rsid w:val="00435941"/>
    <w:rsid w:val="004610E4"/>
    <w:rsid w:val="004B2939"/>
    <w:rsid w:val="004C3FE4"/>
    <w:rsid w:val="004E5140"/>
    <w:rsid w:val="004E6A39"/>
    <w:rsid w:val="00543A17"/>
    <w:rsid w:val="00544672"/>
    <w:rsid w:val="00561501"/>
    <w:rsid w:val="00572ACC"/>
    <w:rsid w:val="005C1E36"/>
    <w:rsid w:val="005D51C6"/>
    <w:rsid w:val="005E7C4C"/>
    <w:rsid w:val="005F16A5"/>
    <w:rsid w:val="00611E37"/>
    <w:rsid w:val="00617C95"/>
    <w:rsid w:val="00642E41"/>
    <w:rsid w:val="00646D1C"/>
    <w:rsid w:val="00651BCF"/>
    <w:rsid w:val="00682A26"/>
    <w:rsid w:val="00686FEB"/>
    <w:rsid w:val="006908B3"/>
    <w:rsid w:val="006B5099"/>
    <w:rsid w:val="006D227C"/>
    <w:rsid w:val="006F151E"/>
    <w:rsid w:val="0070467A"/>
    <w:rsid w:val="007345C0"/>
    <w:rsid w:val="00743A98"/>
    <w:rsid w:val="00787E0B"/>
    <w:rsid w:val="007E1780"/>
    <w:rsid w:val="007F68C3"/>
    <w:rsid w:val="00814631"/>
    <w:rsid w:val="0082091D"/>
    <w:rsid w:val="00883EC2"/>
    <w:rsid w:val="00887FDB"/>
    <w:rsid w:val="008E322B"/>
    <w:rsid w:val="0090517E"/>
    <w:rsid w:val="00907CC2"/>
    <w:rsid w:val="00915273"/>
    <w:rsid w:val="009167BD"/>
    <w:rsid w:val="00945929"/>
    <w:rsid w:val="00950835"/>
    <w:rsid w:val="00962D11"/>
    <w:rsid w:val="00983308"/>
    <w:rsid w:val="00985DF9"/>
    <w:rsid w:val="009861EA"/>
    <w:rsid w:val="009B1231"/>
    <w:rsid w:val="009E753D"/>
    <w:rsid w:val="009F50DE"/>
    <w:rsid w:val="00A100BA"/>
    <w:rsid w:val="00A52453"/>
    <w:rsid w:val="00A572A1"/>
    <w:rsid w:val="00A64978"/>
    <w:rsid w:val="00A96304"/>
    <w:rsid w:val="00AB32BF"/>
    <w:rsid w:val="00AE4333"/>
    <w:rsid w:val="00B670F3"/>
    <w:rsid w:val="00B952B1"/>
    <w:rsid w:val="00BB2A48"/>
    <w:rsid w:val="00BC33EB"/>
    <w:rsid w:val="00BD7D80"/>
    <w:rsid w:val="00BE219B"/>
    <w:rsid w:val="00BE7049"/>
    <w:rsid w:val="00BF2D8A"/>
    <w:rsid w:val="00C02355"/>
    <w:rsid w:val="00C113D0"/>
    <w:rsid w:val="00C45FA7"/>
    <w:rsid w:val="00C51052"/>
    <w:rsid w:val="00C52FE1"/>
    <w:rsid w:val="00CB087B"/>
    <w:rsid w:val="00CB244F"/>
    <w:rsid w:val="00D030A6"/>
    <w:rsid w:val="00D0514A"/>
    <w:rsid w:val="00D14C4E"/>
    <w:rsid w:val="00D21BB4"/>
    <w:rsid w:val="00D24193"/>
    <w:rsid w:val="00D322BA"/>
    <w:rsid w:val="00D74868"/>
    <w:rsid w:val="00DA129B"/>
    <w:rsid w:val="00DA2323"/>
    <w:rsid w:val="00DB0F9A"/>
    <w:rsid w:val="00DB19CB"/>
    <w:rsid w:val="00DB4D7C"/>
    <w:rsid w:val="00DE3B10"/>
    <w:rsid w:val="00E0753A"/>
    <w:rsid w:val="00E2296E"/>
    <w:rsid w:val="00E27804"/>
    <w:rsid w:val="00E415EE"/>
    <w:rsid w:val="00E42B63"/>
    <w:rsid w:val="00E44158"/>
    <w:rsid w:val="00E46A04"/>
    <w:rsid w:val="00E86583"/>
    <w:rsid w:val="00EA22D6"/>
    <w:rsid w:val="00EE2145"/>
    <w:rsid w:val="00EF4C5D"/>
    <w:rsid w:val="00F03984"/>
    <w:rsid w:val="00F052D3"/>
    <w:rsid w:val="00F42BDD"/>
    <w:rsid w:val="00F51A36"/>
    <w:rsid w:val="00F62163"/>
    <w:rsid w:val="00F70DF0"/>
    <w:rsid w:val="00F83BA4"/>
    <w:rsid w:val="00F86A29"/>
    <w:rsid w:val="00FD5A28"/>
    <w:rsid w:val="00FD615C"/>
    <w:rsid w:val="00FE0D21"/>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7DFEEA"/>
  <w15:chartTrackingRefBased/>
  <w15:docId w15:val="{5D495481-DAF3-42DB-899F-386A2D99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743A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2BDD"/>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F4C5D"/>
    <w:rPr>
      <w:color w:val="0000FF"/>
      <w:u w:val="single"/>
    </w:rPr>
  </w:style>
  <w:style w:type="paragraph" w:styleId="BodyTextIndent">
    <w:name w:val="Body Text Indent"/>
    <w:basedOn w:val="Normal"/>
    <w:rsid w:val="00F42BDD"/>
    <w:pPr>
      <w:ind w:left="1440" w:hanging="1440"/>
    </w:pPr>
    <w:rPr>
      <w:szCs w:val="20"/>
    </w:rPr>
  </w:style>
  <w:style w:type="paragraph" w:styleId="NormalWeb">
    <w:name w:val="Normal (Web)"/>
    <w:basedOn w:val="Normal"/>
    <w:rsid w:val="009E753D"/>
    <w:pPr>
      <w:spacing w:before="100" w:beforeAutospacing="1" w:after="100" w:afterAutospacing="1"/>
    </w:pPr>
    <w:rPr>
      <w:color w:val="000000"/>
    </w:rPr>
  </w:style>
  <w:style w:type="paragraph" w:styleId="Header">
    <w:name w:val="header"/>
    <w:basedOn w:val="Normal"/>
    <w:rsid w:val="00E42B63"/>
    <w:pPr>
      <w:tabs>
        <w:tab w:val="center" w:pos="4320"/>
        <w:tab w:val="right" w:pos="8640"/>
      </w:tabs>
    </w:pPr>
  </w:style>
  <w:style w:type="character" w:styleId="PageNumber">
    <w:name w:val="page number"/>
    <w:basedOn w:val="DefaultParagraphFont"/>
    <w:rsid w:val="00E42B63"/>
  </w:style>
  <w:style w:type="paragraph" w:styleId="BodyText">
    <w:name w:val="Body Text"/>
    <w:basedOn w:val="Normal"/>
    <w:rsid w:val="00743A98"/>
    <w:pPr>
      <w:spacing w:after="120"/>
    </w:pPr>
  </w:style>
  <w:style w:type="paragraph" w:styleId="ListParagraph">
    <w:name w:val="List Paragraph"/>
    <w:basedOn w:val="Normal"/>
    <w:uiPriority w:val="34"/>
    <w:qFormat/>
    <w:rsid w:val="00D322B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4" ma:contentTypeDescription="Create a new document." ma:contentTypeScope="" ma:versionID="dfd68654f8e71cef2bd989bb75cbdd0d">
  <xsd:schema xmlns:xsd="http://www.w3.org/2001/XMLSchema" xmlns:xs="http://www.w3.org/2001/XMLSchema" xmlns:p="http://schemas.microsoft.com/office/2006/metadata/properties" xmlns:ns2="5a6e7b71-6add-43b0-b968-08860c0e1397" xmlns:ns3="776703c0-f160-4e19-a163-f7e5c99cd31e" targetNamespace="http://schemas.microsoft.com/office/2006/metadata/properties" ma:root="true" ma:fieldsID="a35cfda0ff4f8f4ae18a210708ec0fd1" ns2:_="" ns3:_="">
    <xsd:import namespace="5a6e7b71-6add-43b0-b968-08860c0e1397"/>
    <xsd:import namespace="776703c0-f160-4e19-a163-f7e5c99cd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BAAED-8CB6-4E6F-80B4-3DB0E566F267}"/>
</file>

<file path=customXml/itemProps2.xml><?xml version="1.0" encoding="utf-8"?>
<ds:datastoreItem xmlns:ds="http://schemas.openxmlformats.org/officeDocument/2006/customXml" ds:itemID="{3CBC7AF4-14F1-4BEB-B5D3-86AE349337AE}"/>
</file>

<file path=customXml/itemProps3.xml><?xml version="1.0" encoding="utf-8"?>
<ds:datastoreItem xmlns:ds="http://schemas.openxmlformats.org/officeDocument/2006/customXml" ds:itemID="{9DB420F1-3CF8-4BB6-AA26-7EC3D5327823}"/>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DempseyD</dc:creator>
  <cp:keywords/>
  <dc:description/>
  <cp:lastModifiedBy>Leatherman, Thomas C</cp:lastModifiedBy>
  <cp:revision>3</cp:revision>
  <cp:lastPrinted>2006-06-07T15:29:00Z</cp:lastPrinted>
  <dcterms:created xsi:type="dcterms:W3CDTF">2020-04-23T17:00:00Z</dcterms:created>
  <dcterms:modified xsi:type="dcterms:W3CDTF">2020-04-23T17:01:00Z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